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A42C3" w14:textId="79DA5DAC" w:rsidR="008D59C9" w:rsidRPr="00B238CF" w:rsidRDefault="008D59C9" w:rsidP="008D59C9">
      <w:pPr>
        <w:rPr>
          <w:rFonts w:ascii="Calibri" w:hAnsi="Calibri" w:cs="Calibri"/>
          <w:b/>
          <w:bCs/>
          <w:u w:val="single"/>
        </w:rPr>
      </w:pPr>
      <w:r w:rsidRPr="00B238CF">
        <w:rPr>
          <w:rFonts w:ascii="Calibri" w:hAnsi="Calibri" w:cs="Calibri"/>
          <w:b/>
          <w:bCs/>
          <w:u w:val="single"/>
        </w:rPr>
        <w:t xml:space="preserve">Landmark Papers/Studies in </w:t>
      </w:r>
      <w:r>
        <w:rPr>
          <w:rFonts w:ascii="Calibri" w:hAnsi="Calibri" w:cs="Calibri"/>
          <w:b/>
          <w:bCs/>
          <w:u w:val="single"/>
        </w:rPr>
        <w:t>Medial Branch Blocks and Radiofrequency Lesioning</w:t>
      </w:r>
      <w:r w:rsidRPr="00B238CF">
        <w:rPr>
          <w:rFonts w:ascii="Calibri" w:hAnsi="Calibri" w:cs="Calibri"/>
          <w:b/>
          <w:bCs/>
          <w:u w:val="single"/>
        </w:rPr>
        <w:t>:</w:t>
      </w:r>
      <w:r w:rsidRPr="00B238CF">
        <w:rPr>
          <w:rFonts w:ascii="Calibri" w:hAnsi="Calibri" w:cs="Calibri"/>
          <w:b/>
          <w:bCs/>
          <w:u w:val="single"/>
        </w:rPr>
        <w:br/>
      </w:r>
    </w:p>
    <w:p w14:paraId="66CD7A64" w14:textId="6CEB39E2" w:rsidR="00FD32B6" w:rsidRPr="008D59C9" w:rsidRDefault="008D59C9" w:rsidP="008D59C9">
      <w:pPr>
        <w:pStyle w:val="ListParagraph"/>
        <w:numPr>
          <w:ilvl w:val="0"/>
          <w:numId w:val="2"/>
        </w:numPr>
      </w:pPr>
      <w:r w:rsidRPr="008D59C9">
        <w:rPr>
          <w:rFonts w:ascii="Calibri" w:hAnsi="Calibri" w:cs="Calibri"/>
        </w:rPr>
        <w:t xml:space="preserve">Steven P. Cohen, Srinivasa N. Raja; Pathogenesis, Diagnosis, and Treatment of Lumbar Zygapophysial (Facet) Joint Pain. Anesthesiology 2007; 106:591–614 </w:t>
      </w:r>
      <w:proofErr w:type="spellStart"/>
      <w:r w:rsidRPr="008D59C9">
        <w:rPr>
          <w:rFonts w:ascii="Calibri" w:hAnsi="Calibri" w:cs="Calibri"/>
        </w:rPr>
        <w:t>doi</w:t>
      </w:r>
      <w:proofErr w:type="spellEnd"/>
      <w:r w:rsidRPr="008D59C9">
        <w:rPr>
          <w:rFonts w:ascii="Calibri" w:hAnsi="Calibri" w:cs="Calibri"/>
        </w:rPr>
        <w:t xml:space="preserve">: </w:t>
      </w:r>
      <w:hyperlink r:id="rId5" w:history="1">
        <w:r w:rsidRPr="00B570E9">
          <w:rPr>
            <w:rStyle w:val="Hyperlink"/>
            <w:rFonts w:ascii="Calibri" w:hAnsi="Calibri" w:cs="Calibri"/>
          </w:rPr>
          <w:t>https://doi.org/10.1097/00000542-200703000-00024</w:t>
        </w:r>
      </w:hyperlink>
    </w:p>
    <w:p w14:paraId="1C053AA7" w14:textId="0ED4380B" w:rsidR="008D59C9" w:rsidRPr="008D59C9" w:rsidRDefault="008D59C9" w:rsidP="008D59C9">
      <w:pPr>
        <w:pStyle w:val="ListParagraph"/>
        <w:numPr>
          <w:ilvl w:val="1"/>
          <w:numId w:val="2"/>
        </w:numPr>
      </w:pPr>
      <w:r>
        <w:rPr>
          <w:rFonts w:ascii="Calibri" w:hAnsi="Calibri" w:cs="Calibri"/>
        </w:rPr>
        <w:t>Comprehensive review on the pathogenesis, diagnosis, and treatment of lumbar facet joint pain.</w:t>
      </w:r>
    </w:p>
    <w:p w14:paraId="7D3A0B43" w14:textId="77777777" w:rsidR="008D59C9" w:rsidRPr="008D59C9" w:rsidRDefault="008D59C9" w:rsidP="008D59C9"/>
    <w:p w14:paraId="2D29A21C" w14:textId="0A00867D" w:rsidR="008D59C9" w:rsidRDefault="008D59C9" w:rsidP="008D59C9">
      <w:pPr>
        <w:pStyle w:val="ListParagraph"/>
        <w:numPr>
          <w:ilvl w:val="0"/>
          <w:numId w:val="2"/>
        </w:numPr>
      </w:pPr>
      <w:r w:rsidRPr="008D59C9">
        <w:t xml:space="preserve">Cohen SP, Bhaskar A, Bhatia A, </w:t>
      </w:r>
      <w:proofErr w:type="spellStart"/>
      <w:r w:rsidRPr="008D59C9">
        <w:t>Buvanendran</w:t>
      </w:r>
      <w:proofErr w:type="spellEnd"/>
      <w:r w:rsidRPr="008D59C9">
        <w:t xml:space="preserve"> A, Deer T, Garg S, Hooten WM, Hurley RW, Kennedy DJ, McLean BC, Moon JY, </w:t>
      </w:r>
      <w:proofErr w:type="spellStart"/>
      <w:r w:rsidRPr="008D59C9">
        <w:t>Narouze</w:t>
      </w:r>
      <w:proofErr w:type="spellEnd"/>
      <w:r w:rsidRPr="008D59C9">
        <w:t xml:space="preserve"> S, </w:t>
      </w:r>
      <w:proofErr w:type="spellStart"/>
      <w:r w:rsidRPr="008D59C9">
        <w:t>Pangarkar</w:t>
      </w:r>
      <w:proofErr w:type="spellEnd"/>
      <w:r w:rsidRPr="008D59C9">
        <w:t xml:space="preserve"> S, Provenzano DA, </w:t>
      </w:r>
      <w:proofErr w:type="spellStart"/>
      <w:r w:rsidRPr="008D59C9">
        <w:t>Rauck</w:t>
      </w:r>
      <w:proofErr w:type="spellEnd"/>
      <w:r w:rsidRPr="008D59C9">
        <w:t xml:space="preserve"> R, </w:t>
      </w:r>
      <w:proofErr w:type="spellStart"/>
      <w:r w:rsidRPr="008D59C9">
        <w:t>Sitzman</w:t>
      </w:r>
      <w:proofErr w:type="spellEnd"/>
      <w:r w:rsidRPr="008D59C9">
        <w:t xml:space="preserve"> BT, </w:t>
      </w:r>
      <w:proofErr w:type="spellStart"/>
      <w:r w:rsidRPr="008D59C9">
        <w:t>Smuck</w:t>
      </w:r>
      <w:proofErr w:type="spellEnd"/>
      <w:r w:rsidRPr="008D59C9">
        <w:t xml:space="preserve"> M, van Zundert J, </w:t>
      </w:r>
      <w:proofErr w:type="spellStart"/>
      <w:r w:rsidRPr="008D59C9">
        <w:t>Vorenkamp</w:t>
      </w:r>
      <w:proofErr w:type="spellEnd"/>
      <w:r w:rsidRPr="008D59C9">
        <w:t xml:space="preserve"> K, Wallace MS, Zhao Z. Consensus practice guidelines on interventions for lumbar facet joint pain from a multispecialty, international working group. Reg </w:t>
      </w:r>
      <w:proofErr w:type="spellStart"/>
      <w:r w:rsidRPr="008D59C9">
        <w:t>Anesth</w:t>
      </w:r>
      <w:proofErr w:type="spellEnd"/>
      <w:r w:rsidRPr="008D59C9">
        <w:t xml:space="preserve"> Pain Med. 2020 Jun;45(6):424-467. </w:t>
      </w:r>
      <w:proofErr w:type="spellStart"/>
      <w:r w:rsidRPr="008D59C9">
        <w:t>doi</w:t>
      </w:r>
      <w:proofErr w:type="spellEnd"/>
      <w:r w:rsidRPr="008D59C9">
        <w:t xml:space="preserve">: 10.1136/rapm-2019-101243. </w:t>
      </w:r>
      <w:proofErr w:type="spellStart"/>
      <w:r w:rsidRPr="008D59C9">
        <w:t>Epub</w:t>
      </w:r>
      <w:proofErr w:type="spellEnd"/>
      <w:r w:rsidRPr="008D59C9">
        <w:t xml:space="preserve"> 2020 Apr 3. PMID: 32245841; PMCID: PMC7362874.</w:t>
      </w:r>
    </w:p>
    <w:p w14:paraId="5A1F2149" w14:textId="42CF2829" w:rsidR="008D59C9" w:rsidRDefault="008D59C9" w:rsidP="008D59C9">
      <w:pPr>
        <w:pStyle w:val="ListParagraph"/>
        <w:numPr>
          <w:ilvl w:val="1"/>
          <w:numId w:val="2"/>
        </w:numPr>
      </w:pPr>
      <w:r>
        <w:t>Comprehensive consensus practice guidelines on treating lumbar facet joint pain including medial branch blocks and radiofrequency lesioning</w:t>
      </w:r>
    </w:p>
    <w:sectPr w:rsidR="008D5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FA209A"/>
    <w:multiLevelType w:val="hybridMultilevel"/>
    <w:tmpl w:val="D7508FE6"/>
    <w:lvl w:ilvl="0" w:tplc="2108899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F5871"/>
    <w:multiLevelType w:val="hybridMultilevel"/>
    <w:tmpl w:val="BCC45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874514">
    <w:abstractNumId w:val="1"/>
  </w:num>
  <w:num w:numId="2" w16cid:durableId="197324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C9"/>
    <w:rsid w:val="001011F1"/>
    <w:rsid w:val="008D59C9"/>
    <w:rsid w:val="00EB3FF2"/>
    <w:rsid w:val="00FD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8C435"/>
  <w15:chartTrackingRefBased/>
  <w15:docId w15:val="{9BDF0E7E-026B-304A-A121-953ECDFA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9C9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59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97/00000542-200703000-000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Ang</dc:creator>
  <cp:keywords/>
  <dc:description/>
  <cp:lastModifiedBy>Samuel Ang</cp:lastModifiedBy>
  <cp:revision>1</cp:revision>
  <dcterms:created xsi:type="dcterms:W3CDTF">2024-09-23T23:30:00Z</dcterms:created>
  <dcterms:modified xsi:type="dcterms:W3CDTF">2024-09-23T23:35:00Z</dcterms:modified>
</cp:coreProperties>
</file>